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 приказу от 30.09.2021 г. № 74-а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План-график МБОУ «Казанская СОШ»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по формированию ф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ункциональной грамотности обучающихся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tbl>
      <w:tblPr>
        <w:tblW w:w="1077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1360"/>
        <w:gridCol w:w="3878"/>
        <w:gridCol w:w="1126"/>
        <w:gridCol w:w="1936"/>
        <w:gridCol w:w="2472"/>
      </w:tblGrid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показатель                 для контроля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Нормативное и организационно-координационное сопровождение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школьного координатора,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обеспечивающего</w:t>
            </w:r>
            <w:r>
              <w:rPr>
                <w:rFonts w:eastAsia="Calibri" w:cs="Times New Roman"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организацию повышения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квалификации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методической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поддержки</w:t>
            </w:r>
            <w:r>
              <w:rPr>
                <w:rFonts w:eastAsia="Calibri" w:cs="Times New Roman"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eastAsia="Calibri" w:cs="Times New Roman" w:ascii="Times New Roman" w:hAnsi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формированию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eastAsia="Calibri" w:cs="Times New Roman"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грамотности 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 сентября 2021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Определен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школьный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координатор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и утверждение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школьного плана-графика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(«дорожных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карт»)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формированию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грамотности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eastAsia="Calibri" w:cs="Times New Roman" w:ascii="Times New Roman" w:hAnsi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eastAsia="Calibri" w:cs="Times New Roman"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2021-22 уч.г.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До 01 октября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 Руководители ШМО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Разработан и утвержден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школьный план-график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Разработка/внесение изменений в локальные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акты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МБОУ «Казанская СОШ»,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регулирующие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сферу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 развития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(ООП,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положение о ВСОКО,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р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абочие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учебных предметов,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курсов,</w:t>
            </w:r>
            <w:r>
              <w:rPr>
                <w:rFonts w:eastAsia="Calibri" w:cs="Times New Roman" w:ascii="Times New Roman" w:hAnsi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оценочные</w:t>
            </w:r>
            <w:r>
              <w:rPr>
                <w:rFonts w:eastAsia="Calibri" w:cs="Times New Roman"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средства</w:t>
            </w:r>
            <w:r>
              <w:rPr>
                <w:rFonts w:eastAsia="Calibri" w:cs="Times New Roman"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Calibri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До 01 декабря 2021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 Руководители ШМО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Внесены изменения  в локальные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акты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МБОУ «КазанскаяСОШ»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педагогических советов по вопросам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функциональной грамотности (лучшие практики методической работы, вопросы выявления профессиональных дефицитов педагогических кадров и др.)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Проведены педагогические советы, обобщен опыт работы (приложение              к протоколу)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Методическое сопровождение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Участие руководящих и педагогических кадров 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МБОУ «Казанская СОШ»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в федеральных, региональных, муниципальных мероприятиях по формированию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грамотности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обучающихся (заседания РУМО, конференции, вебинары, семинары и др.)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Руководящие и педагогические кадры МБОУ «Казанская СОШ»  приняли участие в федеральных, региональных, муниципальных мероприятиях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и реализация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плана-графика повышения квалификации педагогических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МБОУ «Казанская СОШ»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вопросам формирования и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Разработан и утвержден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школьный план-график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педагогических работников по вопросам внедрения в учебный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eastAsia="Calibri" w:cs="Times New Roman"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Спланированы и проведены заседания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Внедрены в учебный процесс задания </w:t>
            </w:r>
            <w:hyperlink r:id="rId2"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fg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otkrytyy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zadaniy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dlya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otsenki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yestestvennonauchnoy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>
                <w:rPr>
                  <w:rStyle w:val="Style14"/>
                  <w:rFonts w:eastAsia="Calibri" w:cs="Times New Roman"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gramotnosti</w:t>
              </w:r>
            </w:hyperlink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Сбор и обобщение опыта работы (лучших практик) МБОУ «Казанская СОШ» по формированию функциональной грамотности (для ШМО, муниципального уровня, для РУМО Орловской области, БУ ОО ДПО «Институт развития образования»)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Лучшие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практики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грамотности размещены на сайте 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Реализация программ внеурочной деятельности по развитию функциональной грамотности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Разработаны и реализуются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</w:tc>
      </w:tr>
      <w:tr>
        <w:trPr/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рабочих/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творческих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eastAsia="Calibri" w:cs="Times New Roman" w:ascii="Times New Roman" w:hAnsi="Times New Roman"/>
                <w:spacing w:val="-58"/>
                <w:sz w:val="24"/>
                <w:szCs w:val="24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eastAsia="Calibri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Start w:id="1" w:name="_GoBack"/>
            <w:bookmarkEnd w:id="1"/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Созданы рабочие группы  по шести направлениям реализ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ации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плана работы</w:t>
            </w:r>
          </w:p>
        </w:tc>
      </w:tr>
      <w:tr>
        <w:trPr/>
        <w:tc>
          <w:tcPr>
            <w:tcW w:w="1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по читательской грамотности</w:t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Бахтина Н.М.</w:t>
            </w:r>
          </w:p>
        </w:tc>
      </w:tr>
      <w:tr>
        <w:trPr/>
        <w:tc>
          <w:tcPr>
            <w:tcW w:w="1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Тарасова О.В.</w:t>
            </w:r>
          </w:p>
        </w:tc>
      </w:tr>
      <w:tr>
        <w:trPr/>
        <w:tc>
          <w:tcPr>
            <w:tcW w:w="1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естесственно-научной грамотности</w:t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Потапова Н.Дм</w:t>
            </w:r>
          </w:p>
        </w:tc>
      </w:tr>
      <w:tr>
        <w:trPr/>
        <w:tc>
          <w:tcPr>
            <w:tcW w:w="1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Филиппова О.В.</w:t>
            </w:r>
          </w:p>
        </w:tc>
      </w:tr>
      <w:tr>
        <w:trPr>
          <w:trHeight w:val="624" w:hRule="atLeast"/>
        </w:trPr>
        <w:tc>
          <w:tcPr>
            <w:tcW w:w="1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Дорогавцева О.В.</w:t>
            </w:r>
          </w:p>
        </w:tc>
      </w:tr>
      <w:tr>
        <w:trPr/>
        <w:tc>
          <w:tcPr>
            <w:tcW w:w="1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По креативному мышлению</w:t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Харькова Т.В.</w:t>
            </w:r>
          </w:p>
        </w:tc>
      </w:tr>
      <w:tr>
        <w:trPr/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успешного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eastAsia="Calibri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(мастер-классы,</w:t>
            </w:r>
            <w:r>
              <w:rPr>
                <w:rFonts w:eastAsia="Calibri" w:cs="Times New Roman" w:ascii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eastAsia="Calibri" w:cs="Times New Roman"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уроки,</w:t>
            </w:r>
            <w:r>
              <w:rPr>
                <w:rFonts w:eastAsia="Calibri" w:cs="Times New Roman" w:ascii="Times New Roman" w:hAnsi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eastAsia="Calibri" w:cs="Times New Roman"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недели, участие в конкурсах)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2021-22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Учителя-предметники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Сформирована база ресурсов МБОУ «Казанская  СОШ» с техкартами уроков, программами внеурочной деятельности, иными материалами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g.resh.edu.ru/" TargetMode="External"/><Relationship Id="rId3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LibreOffice/5.1.6.2$Linux_x86 LibreOffice_project/10m0$Build-2</Application>
  <Pages>2</Pages>
  <Words>465</Words>
  <Characters>3611</Characters>
  <CharactersWithSpaces>4033</CharactersWithSpaces>
  <Paragraphs>98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2021-11-08T12:10:00Z</dcterms:created>
  <dc:creator>Татьяна</dc:creator>
  <dc:description/>
  <dc:language>ru-RU</dc:language>
  <cp:lastModifiedBy/>
  <dcterms:modified xsi:type="dcterms:W3CDTF">2021-12-15T11:08:55Z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