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spacing w:before="0" w:after="0"/>
        <w:ind w:left="426" w:right="1275" w:firstLine="567"/>
        <w:jc w:val="center"/>
        <w:rPr>
          <w:b/>
          <w:sz w:val="28"/>
          <w:szCs w:val="28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219700" cy="74021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740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right="-285" w:firstLine="567"/>
        <w:jc w:val="center"/>
        <w:rPr>
          <w:b/>
          <w:bCs/>
          <w:sz w:val="28"/>
        </w:rPr>
      </w:pPr>
      <w:r>
        <w:rPr>
          <w:b/>
          <w:bCs/>
          <w:sz w:val="28"/>
        </w:rPr>
        <w:t>Пояснительная записка</w:t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right="-285" w:firstLine="567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hd w:val="clear" w:color="auto" w:fill="FFFFFF"/>
        <w:tabs>
          <w:tab w:val="clear" w:pos="708"/>
          <w:tab w:val="left" w:pos="284" w:leader="none"/>
        </w:tabs>
        <w:spacing w:lineRule="auto" w:line="240" w:before="0" w:after="0"/>
        <w:ind w:right="-285" w:firstLine="567"/>
        <w:jc w:val="both"/>
        <w:rPr/>
      </w:pPr>
      <w:r>
        <w:rPr/>
        <w:tab/>
        <w:t>Программа внеурочной деятельности «Функциональная математическая грамотность»разработана в соответствии с: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0" w:right="-285" w:firstLine="567"/>
        <w:contextualSpacing w:val="false"/>
        <w:jc w:val="both"/>
        <w:rPr/>
      </w:pPr>
      <w:r>
        <w:rPr/>
        <w:t>Федеральным законом «Об образовании в Российской Федерации» от 29.12.2012 № 273-ФЗ;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0" w:right="-285" w:firstLine="567"/>
        <w:contextualSpacing w:val="false"/>
        <w:jc w:val="both"/>
        <w:rPr/>
      </w:pPr>
      <w:r>
        <w:rPr/>
        <w:t>Национальной образовательной инициативой «Наша новая школа»;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right="-285" w:firstLine="567"/>
        <w:jc w:val="both"/>
        <w:rPr>
          <w:rStyle w:val="Strong"/>
          <w:b w:val="false"/>
          <w:bCs w:val="false"/>
        </w:rPr>
      </w:pPr>
      <w:r>
        <w:rPr/>
        <w:t>Приказом Министерства образования и науки от 17.12.2010 № 1897</w:t>
      </w:r>
      <w:r>
        <w:rPr>
          <w:rStyle w:val="Strong"/>
          <w:shd w:fill="FFFFFF" w:val="clear"/>
        </w:rPr>
        <w:t>«</w:t>
      </w:r>
      <w:r>
        <w:rPr>
          <w:rStyle w:val="Strong"/>
          <w:b w:val="false"/>
          <w:shd w:fill="FFFFFF" w:val="clear"/>
        </w:rPr>
        <w:t>Об утверждении федерального государственного образовательного стандарта основного общего образования».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0" w:right="-285" w:firstLine="567"/>
        <w:contextualSpacing w:val="false"/>
        <w:jc w:val="both"/>
        <w:rPr/>
      </w:pPr>
      <w:r>
        <w:rPr/>
        <w:t>Письмом Министерства образования и науки Российской Федерации от 19.04.2011 № 03-255 «О введении федеральных государственных образовательных стандартов общего образования»;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284" w:leader="none"/>
        </w:tabs>
        <w:spacing w:before="0" w:after="0"/>
        <w:ind w:left="0" w:right="-285" w:firstLine="567"/>
        <w:contextualSpacing w:val="false"/>
        <w:jc w:val="both"/>
        <w:rPr/>
      </w:pPr>
      <w:r>
        <w:rPr/>
        <w:t>Письмом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spacing w:lineRule="auto" w:line="240" w:before="0" w:after="0"/>
        <w:ind w:left="0" w:right="-285" w:firstLine="567"/>
        <w:jc w:val="both"/>
        <w:rPr/>
      </w:pPr>
      <w:r>
        <w:rPr/>
        <w:t xml:space="preserve">Санитарно-эпидемиологическими требованиями к условиям и организации обучения в общеобразовательных учреждениях (СанПин2.4.2.2821-10), утверждёнными постановлением главного государственного санитарного врача РФ от 29.12.2010  № 189); </w:t>
      </w:r>
    </w:p>
    <w:p>
      <w:pPr>
        <w:pStyle w:val="Normal"/>
        <w:shd w:val="clear" w:color="auto" w:fill="FFFFFF"/>
        <w:spacing w:lineRule="auto" w:line="240" w:before="0" w:after="0"/>
        <w:ind w:right="-285" w:hanging="0"/>
        <w:jc w:val="both"/>
        <w:rPr>
          <w:color w:val="000000"/>
        </w:rPr>
      </w:pPr>
      <w:r>
        <w:rPr>
          <w:rFonts w:eastAsia="Times New Roman"/>
          <w:color w:val="000000"/>
          <w:lang w:eastAsia="ru-RU"/>
        </w:rPr>
        <w:t>Функциональная грамотность – умение решать жизненные задачи в различных сферах деятельности; способность использовать приобретенные математические знания для решения задач в различных сферах; готовность применять математику в различных ситуациях. Одной из оставляющей функциональной грамотности – это математическая грамотность учащихся. Математическая грамотность – это способность человека определять и понимать роль математики в мире, в котором он живёт, высказывать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В международном исследовании PISA (Programme for International Student Assessment) термин «функциональная математическая грамотность» означает «способность учащегося использовать математические знания, приобретенные им за время обучения в школе, для решения разнообразных задач межпредметного и практико-ориентированного содержания, для дальнейшего обучения и успешной социализации в обществе».</w:t>
      </w:r>
      <w:r>
        <w:rPr>
          <w:color w:val="000000"/>
        </w:rPr>
        <w:t>Понятие «функциональная математическая грамотность» предполагает владение умениями:- выявлять проблемы, возникающие в окружающем мире, решаемые посредством математических знаний,- решать их, используя математические знания и методы,- обосновывать принятые решения путем математических суждений,- анализировать использованные методы решения,- интерпретировать полученные результаты с учетом поставленной задачи.</w:t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b/>
          <w:bCs/>
          <w:color w:val="181818"/>
          <w:lang w:eastAsia="ru-RU"/>
        </w:rPr>
        <w:t>Цель программы</w:t>
      </w:r>
      <w:r>
        <w:rPr>
          <w:rFonts w:eastAsia="Times New Roman"/>
          <w:color w:val="181818"/>
          <w:lang w:eastAsia="ru-RU"/>
        </w:rPr>
        <w:t>: создание условий для формирования и развития функциональной грамотности обучающихся 6-х классов.  Для достижения данной цели необходимо решить следующие</w:t>
      </w:r>
      <w:r>
        <w:rPr>
          <w:rFonts w:eastAsia="Times New Roman"/>
          <w:b/>
          <w:bCs/>
          <w:color w:val="181818"/>
          <w:lang w:eastAsia="ru-RU"/>
        </w:rPr>
        <w:t> задачи:</w:t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- развивать умение преодолевать трудности при решении задач разного уровня сложности, формировать логическое мышление;</w:t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- показать обучающимся различные методы решения задач, учить решать одну задачу разными способами;</w:t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- развивать исследовательские компетенции в решении математических задач;</w:t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- развивать навыки работы с информацией, содержащейся в текстах, таблицах и диаграммах в процессе чтения соответствующих возрасту учебных, научно-познавательных текстов, инструкций;</w:t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- обеспечить эффективное сочетание урочных занятий и занятий курса.</w:t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both"/>
        <w:rPr>
          <w:rFonts w:eastAsia="Times New Roman"/>
          <w:color w:val="181818"/>
          <w:lang w:eastAsia="ru-RU"/>
        </w:rPr>
      </w:pPr>
      <w:r>
        <w:rPr>
          <w:rFonts w:eastAsia="Times New Roman"/>
          <w:color w:val="181818"/>
          <w:lang w:eastAsia="ru-RU"/>
        </w:rPr>
        <w:t>Вопросы, рассматриваемые на занятиях курса, тесно примыкают к основному курсу и позволят удовлетворить познавательную активность обучающихся. Кроме того, данный курс будет способствовать совершенствованию и развитию важнейших математических знаний и умений, предусмотренных школьной программой, поможет оценить свои возможности по математике и осознанно выбрать профиль дальнейшего обучения.</w:t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both"/>
        <w:rPr>
          <w:rFonts w:eastAsia="Times New Roman"/>
          <w:b/>
          <w:color w:val="181818"/>
          <w:szCs w:val="28"/>
          <w:lang w:eastAsia="ru-RU"/>
        </w:rPr>
      </w:pPr>
      <w:r>
        <w:rPr>
          <w:rFonts w:eastAsia="Times New Roman"/>
          <w:b/>
          <w:color w:val="18181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center"/>
        <w:rPr>
          <w:rFonts w:eastAsia="Times New Roman"/>
          <w:b/>
          <w:color w:val="181818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center"/>
        <w:rPr>
          <w:rFonts w:eastAsia="Times New Roman"/>
          <w:b/>
          <w:color w:val="181818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right="-285" w:firstLine="567"/>
        <w:jc w:val="center"/>
        <w:rPr>
          <w:rFonts w:eastAsia="Times New Roman"/>
          <w:b/>
          <w:color w:val="181818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right="-285" w:hanging="0"/>
        <w:jc w:val="center"/>
        <w:rPr/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right="-285" w:hanging="0"/>
        <w:jc w:val="center"/>
        <w:rPr>
          <w:rFonts w:eastAsia="Times New Roman"/>
          <w:b/>
          <w:color w:val="181818"/>
          <w:sz w:val="28"/>
          <w:szCs w:val="28"/>
          <w:lang w:eastAsia="ru-RU"/>
        </w:rPr>
      </w:pPr>
      <w:r>
        <w:rPr>
          <w:rFonts w:eastAsia="Times New Roman"/>
          <w:b/>
          <w:color w:val="181818"/>
          <w:sz w:val="28"/>
          <w:szCs w:val="28"/>
          <w:lang w:eastAsia="ru-RU"/>
        </w:rPr>
        <w:t>Учебно – методический комплект, включая электронные ресурсы (для учителя)</w:t>
      </w:r>
    </w:p>
    <w:p>
      <w:pPr>
        <w:pStyle w:val="NormalWeb"/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1.  о</w:t>
      </w:r>
      <w:r>
        <w:rPr>
          <w:color w:val="000000"/>
          <w:lang w:val="en-US"/>
        </w:rPr>
        <w:t>f</w:t>
      </w:r>
      <w:r>
        <w:rPr>
          <w:color w:val="000000"/>
        </w:rPr>
        <w:t>.</w:t>
      </w:r>
      <w:r>
        <w:rPr>
          <w:color w:val="000000"/>
          <w:lang w:val="en-US"/>
        </w:rPr>
        <w:t>fipi</w:t>
      </w:r>
      <w:r>
        <w:rPr>
          <w:color w:val="000000"/>
        </w:rPr>
        <w:t>.</w:t>
      </w:r>
      <w:r>
        <w:rPr>
          <w:color w:val="000000"/>
          <w:lang w:val="en-US"/>
        </w:rPr>
        <w:t>ru</w:t>
      </w:r>
      <w:r>
        <w:rPr>
          <w:color w:val="000000"/>
        </w:rPr>
        <w:t> Федеральный институт педагогических измерений. Банк открытых заданий.</w:t>
      </w:r>
    </w:p>
    <w:p>
      <w:pPr>
        <w:pStyle w:val="NormalWeb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left="0"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  <w:lang w:val="en-US"/>
        </w:rPr>
        <w:t>hpps://oge.sdamgia.ru/</w:t>
      </w:r>
    </w:p>
    <w:p>
      <w:pPr>
        <w:pStyle w:val="NormalWeb"/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 xml:space="preserve">ОГЭ-2020. Математика. 9 класс. Основной государственный экзамен./И.Р. Высоцкий, Л.О. Рослова, Л.В. Семенов,П.И. Захаров; под ред.И.В. </w:t>
      </w:r>
    </w:p>
    <w:p>
      <w:pPr>
        <w:pStyle w:val="NormalWeb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left="0"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Ященко.- М.: Издательство «Экзамен»,МЦНМО,2020.)</w:t>
      </w:r>
    </w:p>
    <w:p>
      <w:pPr>
        <w:pStyle w:val="NormalWeb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left="0"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С.С. Минаева. Дроби и проценты.5-7 классы. ФГОС/.-М.: Издательство «Экзамен», 2016.- 125 с.</w:t>
      </w:r>
    </w:p>
    <w:p>
      <w:pPr>
        <w:pStyle w:val="NormalWeb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left="0"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Калинкина Е.Н. Сборник заданий по развитию функциональной математической грамотности обучающихся 5-9 классов.-Новокуйбышевск, 2019.</w:t>
      </w:r>
    </w:p>
    <w:p>
      <w:pPr>
        <w:pStyle w:val="NormalWeb"/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Кузнецова Л.В., Бунимович Е.А., Пигарев Б.П., Суворова С.Б. Сборник заданий для проведения письменного экзамена по алгебре за курс основной школы.- Москва «Дрофа», 2001г. </w:t>
      </w:r>
    </w:p>
    <w:p>
      <w:pPr>
        <w:pStyle w:val="NormalWeb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left="0"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Козлова С.А. Контрольно-измерительные материалы. Тесты и самостоятельные работы к учебнику «Математика», 6 кл./С.А.Козлова, А.Г. Рубин, В.Н. Гераськин.-М.: Баласс, 2014.-112с.</w:t>
      </w:r>
    </w:p>
    <w:p>
      <w:pPr>
        <w:pStyle w:val="NormalWeb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left="0"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Развитие функциональной грамотности обучающихся основной школы: методическое пособие для педагогов /Под общей редакцией Л.Ю. Панариной, И.В. Сорокиной, О.А. Смагиной, Е.А. Зайцевой. – Самара: СИПКРО, 2019. - с.</w:t>
      </w:r>
    </w:p>
    <w:p>
      <w:pPr>
        <w:pStyle w:val="NormalWeb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left="0"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Сергеева Т.Ф. Математика на каждый день.6-8 классы: пособие для общеобразовательных организ./ Т.Ф. Сергеева.- М.: Просвещение, 2020.-112 с.</w:t>
      </w:r>
    </w:p>
    <w:p>
      <w:pPr>
        <w:pStyle w:val="NormalWeb"/>
        <w:numPr>
          <w:ilvl w:val="0"/>
          <w:numId w:val="2"/>
        </w:numPr>
        <w:shd w:val="clear" w:color="auto" w:fill="FFFFFF"/>
        <w:tabs>
          <w:tab w:val="clear" w:pos="708"/>
          <w:tab w:val="left" w:pos="851" w:leader="none"/>
        </w:tabs>
        <w:spacing w:beforeAutospacing="0" w:before="0" w:afterAutospacing="0" w:after="0"/>
        <w:ind w:left="0" w:right="-285"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Математическая грамотность. Сборник эталонных заданий. Учебное пособие в 2-х частях/под ред. Г.С.Ковалевой, Л.О.Рословой.-М; СПб: «Просвещение», 2022 г.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Планируемые результаты освоения курса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Изучение курса «Функциональная математическая грамотность» дает возможность обучающимся достичь следующих результатов развития.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b/>
          <w:color w:val="000000"/>
        </w:rPr>
        <w:t>Личностные результаты</w:t>
      </w:r>
      <w:r>
        <w:rPr>
          <w:color w:val="000000"/>
        </w:rPr>
        <w:t>: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понимать значимость образования и познания в жизни человека и общества;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знать и понимать правила ответственного отношения к выполнению учебных задач, самостоятельно отвечать за результаты своей учебной деятельности, осознавать истинные мотивы учебной деятельности;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знать о существовании и преимуществах компромиссных способов решения споров, конфликтов и иметь позитивный опыт их применения;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знать и принимать правила уважительного и доброжелательного отношения к другим людям;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-знать о способах регуляции своего поведения в социуме, уметь применять эти способы;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иметь опыт творческой деятельности и эмоциональной рефлексии;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понимать направленность своих интересов в ту или иную сферу окружающего мира.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b/>
          <w:color w:val="000000"/>
        </w:rPr>
        <w:t>Метапредметные результаты</w:t>
      </w:r>
      <w:r>
        <w:rPr>
          <w:color w:val="000000"/>
        </w:rPr>
        <w:t>: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i/>
          <w:color w:val="000000"/>
        </w:rPr>
        <w:t>Регулятивные УУД</w:t>
      </w:r>
      <w:r>
        <w:rPr>
          <w:color w:val="000000"/>
        </w:rPr>
        <w:t>. С помощью наводящих вопросов учителя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формулировать суть проблемы, возникшей в ходе познавательной, творческой или иной деятельности и свое к ней отношение;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определять желаемые результаты той или иной деятельности;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объяснять личные мотивы желаемых результатов;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определять необходимые действия для решения текущей задачи;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определять возможные препятствия и способы их преодоления;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оценивать внутренние и внешние ресурсы и возможность их использования при решении задач;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выбирать из предложенных вариантов более подходящие инструменты самоконтроля и применять их;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сверять результаты промежуточной деятельности с желаемым результатом, корректировать их;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оценивать результаты своей деятельности, анализировать ее сильные и слабые стороны;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называть причины, приведшие к тому или иному результату.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i/>
          <w:color w:val="000000"/>
        </w:rPr>
        <w:t>Познавательные УУД</w:t>
      </w:r>
      <w:r>
        <w:rPr>
          <w:color w:val="000000"/>
        </w:rPr>
        <w:t>. С помощью наводящих вопросов учителя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выбирать из предложенных вариантов инструменты, наиболее подходящие для анализа правильности решения задачи, предлагать свои инструменты;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оценивать в процессе взаимопроверки или самоконтроля правильность решения учебной задачи;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аргументировать мнение по поводу качества выполнения учебной задачи;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формулировать различные виды вопросов в учебной и познавательной деятельности, знать их отличия;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создавать проблемные ситуации, объяснять актуальность проблемы;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выдвигать гипотезы, планировать последовательность действий, которые необходимо совершить для проверки гипотезы, аргументировать их последовательность;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подбирать из предложенных инструментов исследования наиболее подходящие, аргументировать свой выбор;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проводить разные виды исследований;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сравнивать результаты исследования с гипотезой, делать выводы;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представлять продукты исследования в группе или в классе;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определять логические связи между предметами, явлениями;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составлять целое из частей, достраивать, восполнять недостающие компоненты;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color w:val="000000"/>
        </w:rPr>
      </w:pPr>
      <w:r>
        <w:rPr>
          <w:color w:val="000000"/>
        </w:rPr>
        <w:t>- выявлять причины и следствия явлений, строить логическую цепь рассуждений.</w:t>
      </w:r>
    </w:p>
    <w:p>
      <w:pPr>
        <w:pStyle w:val="NormalWeb"/>
        <w:shd w:val="clear" w:color="auto" w:fill="FFFFFF"/>
        <w:spacing w:beforeAutospacing="0" w:before="0" w:afterAutospacing="0" w:after="0"/>
        <w:ind w:right="-285" w:firstLine="567"/>
        <w:jc w:val="both"/>
        <w:rPr>
          <w:i/>
          <w:i/>
          <w:color w:val="000000"/>
        </w:rPr>
      </w:pPr>
      <w:r>
        <w:rPr>
          <w:i/>
          <w:color w:val="000000"/>
        </w:rPr>
        <w:t xml:space="preserve">Коммуникативные УУД. </w:t>
      </w:r>
    </w:p>
    <w:p>
      <w:pPr>
        <w:pStyle w:val="Default"/>
        <w:ind w:right="-285" w:firstLine="567"/>
        <w:jc w:val="both"/>
        <w:rPr/>
      </w:pPr>
      <w:r>
        <w:rPr/>
        <w:t>-использовать различные речевые средства в процессе коммуникации с другими людьми в зависимости от поставленной задачи;</w:t>
      </w:r>
    </w:p>
    <w:p>
      <w:pPr>
        <w:pStyle w:val="Default"/>
        <w:ind w:right="-285" w:firstLine="567"/>
        <w:jc w:val="both"/>
        <w:rPr/>
      </w:pPr>
      <w:r>
        <w:rPr/>
        <w:t xml:space="preserve">-соблюдает нормы и регламент в монологе и дискуссии в соответствии с коммуникативной задачей;                                                                                                              </w:t>
      </w:r>
    </w:p>
    <w:p>
      <w:pPr>
        <w:pStyle w:val="Default"/>
        <w:ind w:right="-285" w:firstLine="567"/>
        <w:jc w:val="both"/>
        <w:rPr/>
      </w:pPr>
      <w:r>
        <w:rPr/>
        <w:t xml:space="preserve">-высказывает и обосновывает свое мнение;  </w:t>
      </w:r>
    </w:p>
    <w:p>
      <w:pPr>
        <w:pStyle w:val="Default"/>
        <w:ind w:right="-285" w:firstLine="567"/>
        <w:jc w:val="both"/>
        <w:rPr/>
      </w:pPr>
      <w:r>
        <w:rPr/>
        <w:t xml:space="preserve">-принимает решение в ходе диалога и согласовывает его с собеседником;                              </w:t>
      </w:r>
    </w:p>
    <w:p>
      <w:pPr>
        <w:pStyle w:val="Default"/>
        <w:ind w:right="-285" w:firstLine="567"/>
        <w:jc w:val="both"/>
        <w:rPr/>
      </w:pPr>
      <w:r>
        <w:rPr/>
        <w:t xml:space="preserve">-знает правила создания информационных продуктов; имеет опыт их создания в учебной деятельности под руководством учителя (реферат, доклады, тест, презентация, письмо, видеоряд, видеоролик и т.д.).                                                                                          </w:t>
      </w:r>
    </w:p>
    <w:p>
      <w:pPr>
        <w:pStyle w:val="Default"/>
        <w:ind w:right="-285" w:firstLine="567"/>
        <w:jc w:val="both"/>
        <w:rPr/>
      </w:pPr>
      <w:r>
        <w:rPr/>
        <w:t xml:space="preserve"> </w:t>
      </w:r>
      <w:r>
        <w:rPr>
          <w:b/>
        </w:rPr>
        <w:t>Предметные результаты</w:t>
      </w:r>
      <w:r>
        <w:rPr/>
        <w:t xml:space="preserve">: </w:t>
      </w:r>
    </w:p>
    <w:p>
      <w:pPr>
        <w:pStyle w:val="Default"/>
        <w:ind w:right="-285" w:firstLine="567"/>
        <w:jc w:val="both"/>
        <w:rPr/>
      </w:pPr>
      <w:r>
        <w:rPr/>
        <w:t xml:space="preserve">-читать и понимать графики реальной зависимости, диаграммы; </w:t>
      </w:r>
    </w:p>
    <w:p>
      <w:pPr>
        <w:pStyle w:val="Default"/>
        <w:ind w:right="-285" w:firstLine="567"/>
        <w:jc w:val="both"/>
        <w:rPr/>
      </w:pPr>
      <w:r>
        <w:rPr/>
        <w:t xml:space="preserve">-составлять математические модели к задачам и работать с ними;  </w:t>
      </w:r>
    </w:p>
    <w:p>
      <w:pPr>
        <w:pStyle w:val="Default"/>
        <w:ind w:right="-285" w:firstLine="567"/>
        <w:jc w:val="both"/>
        <w:rPr/>
      </w:pPr>
      <w:r>
        <w:rPr/>
        <w:t xml:space="preserve">-применять рациональные приёмы вычисления при решении примеров с большими числами; </w:t>
      </w:r>
    </w:p>
    <w:p>
      <w:pPr>
        <w:pStyle w:val="Default"/>
        <w:ind w:right="-285" w:firstLine="567"/>
        <w:jc w:val="both"/>
        <w:rPr/>
      </w:pPr>
      <w:r>
        <w:rPr/>
        <w:t xml:space="preserve">-применять различные математические приёмы при решении практических задач (доли, проценты, пропорция, движение, работа);         </w:t>
      </w:r>
    </w:p>
    <w:p>
      <w:pPr>
        <w:pStyle w:val="Default"/>
        <w:ind w:right="-285" w:firstLine="567"/>
        <w:jc w:val="both"/>
        <w:rPr/>
      </w:pPr>
      <w:r>
        <w:rPr/>
        <w:t xml:space="preserve">-знать методы решения комбинаторных задач;     </w:t>
      </w:r>
    </w:p>
    <w:p>
      <w:pPr>
        <w:pStyle w:val="Default"/>
        <w:ind w:right="-285" w:firstLine="567"/>
        <w:jc w:val="both"/>
        <w:rPr/>
      </w:pPr>
      <w:r>
        <w:rPr/>
        <w:t xml:space="preserve">-создавать модели фигур из бумаги, флексагоны;          </w:t>
      </w:r>
    </w:p>
    <w:p>
      <w:pPr>
        <w:pStyle w:val="Default"/>
        <w:ind w:right="-285"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-устанавливать соответствие между реальным размером объекта и представленным на изображении;   </w:t>
      </w:r>
    </w:p>
    <w:p>
      <w:pPr>
        <w:pStyle w:val="Default"/>
        <w:ind w:right="-285" w:firstLine="567"/>
        <w:jc w:val="both"/>
        <w:rPr/>
      </w:pPr>
      <w:r>
        <w:rPr/>
        <w:t xml:space="preserve">-уметь использовать приобретённые знания и умения в практической деятельности и в повседневной жизни. </w:t>
      </w:r>
    </w:p>
    <w:p>
      <w:pPr>
        <w:pStyle w:val="Normal"/>
        <w:tabs>
          <w:tab w:val="clear" w:pos="708"/>
          <w:tab w:val="left" w:pos="241" w:leader="none"/>
          <w:tab w:val="left" w:pos="567" w:leader="none"/>
        </w:tabs>
        <w:spacing w:lineRule="auto" w:line="240" w:before="0" w:after="0"/>
        <w:ind w:right="-285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учебного курса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 xml:space="preserve">- История математики. Великие математики. 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>- Читаем графики, диаграммы. Строим графики, диаграммы.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>- Наглядная геометрия. Простые фигуры своими руками (задачи на разрезание и складывание фигур). Элементарные методы и приемы оригами. Флексагон. Стомахион. Геометрия клетчатой бумаги. Площадь клетчатой фигуры. Задачи по готовым рисункам.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>- Количественные задачи (Сколько нужно? Хватит ли? Будет ли сдача?) Задачи на оптимизацию (Что дешевле? Как выгоднее?) Задачи на проценты (Скидки. Сколько процентов?)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>- Математика дома.</w:t>
      </w:r>
      <w:r>
        <w:rPr>
          <w:b/>
        </w:rPr>
        <w:t xml:space="preserve"> </w:t>
      </w:r>
      <w:r>
        <w:rPr/>
        <w:t>Делаем ремонт. Развертки фигур. Развиваем глазомер. Сравнение рисунков.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>- Занимательная математика. Кроссворды, ребусы, криптограммы. Логика. О лжецах и тех, кто всегда говорит правду.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 xml:space="preserve">- Текстовые задачи, решаемые арифметическим способом: доли и части, проценты, пропорция, движение (по воде и суше; на скорость сближения и скорость удаления), совместная работа.  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>- Задачи практико-ориентированного содержания.</w:t>
      </w:r>
    </w:p>
    <w:p>
      <w:pPr>
        <w:pStyle w:val="Normal"/>
        <w:spacing w:lineRule="auto" w:line="240" w:before="0" w:after="0"/>
        <w:ind w:right="-285" w:firstLine="567"/>
        <w:jc w:val="both"/>
        <w:rPr/>
      </w:pPr>
      <w:r>
        <w:rPr/>
        <w:t>- Совершаем покупки. Прикидки. Акции и скидки. Как выгоднее? Практические задачи, представленные таблицами. Выбор оптимального варианта из 2-х или 3-х; из 3-х или 4-х возможных.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ind w:right="-285" w:firstLine="567"/>
        <w:jc w:val="both"/>
        <w:rPr/>
      </w:pPr>
      <w:r>
        <w:rPr/>
        <w:t>- Что такое комбинаторика? Комбинаторные задачи. Монета. Игральная кость.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p>
      <w:pPr>
        <w:pStyle w:val="Normal"/>
        <w:tabs>
          <w:tab w:val="clear" w:pos="708"/>
          <w:tab w:val="left" w:pos="10365" w:leader="none"/>
        </w:tabs>
        <w:spacing w:lineRule="auto" w:line="240" w:before="0" w:after="0"/>
        <w:jc w:val="center"/>
        <w:rPr>
          <w:b/>
        </w:rPr>
      </w:pPr>
      <w:r>
        <w:rPr>
          <w:b/>
        </w:rPr>
      </w:r>
    </w:p>
    <w:tbl>
      <w:tblPr>
        <w:tblStyle w:val="a7"/>
        <w:tblW w:w="88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2"/>
        <w:gridCol w:w="6582"/>
        <w:gridCol w:w="1602"/>
      </w:tblGrid>
      <w:tr>
        <w:trPr>
          <w:trHeight w:val="344" w:hRule="atLeast"/>
        </w:trPr>
        <w:tc>
          <w:tcPr>
            <w:tcW w:w="62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658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Тема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Количество часов</w:t>
            </w:r>
          </w:p>
        </w:tc>
      </w:tr>
      <w:tr>
        <w:trPr>
          <w:trHeight w:val="339" w:hRule="atLeast"/>
        </w:trPr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История математики. Великие математики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Математика в поэзии, фольклоре, изобразительном искусстве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Наглядная геометрия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Фигуры своими руками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20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Элементарные методы и приемы оригами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Флексагон. Стомахион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Геометрия на клетчатой бумаге. Площади фигур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Решение задач по готовым рисункам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Количественные задачи. Покупки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Задачи на оптимизацию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Математика дома. Ремонт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Развертки фигур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Развиваем глазомер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Занимательная математика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Кроссворды, ребусы, криптограммы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Логика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Задачи о лжецах и тех, кто всегда говорит правду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Задачи на доли и части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Задачи на пропорции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Задачи на скорость сближения, удаления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Задачи на работу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22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Совершаем покупки. Прикидки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23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Практические задачи: как выгоднее?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24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Практические задачи, представленные таблицами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Выбор оптимального варианта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26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Что такое комбинаторика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27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Комбинаторные задачи. Монета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Комбинаторные задачи. Игральная кость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29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Работа над мини-проектом в группах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Защита мини-проекта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6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8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Итого</w:t>
            </w:r>
          </w:p>
        </w:tc>
        <w:tc>
          <w:tcPr>
            <w:tcW w:w="160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0365" w:leader="none"/>
              </w:tabs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ru-RU" w:eastAsia="en-US" w:bidi="ar-SA"/>
              </w:rPr>
              <w:t>34</w:t>
            </w:r>
          </w:p>
        </w:tc>
      </w:tr>
    </w:tbl>
    <w:p>
      <w:pPr>
        <w:pStyle w:val="Normal"/>
        <w:tabs>
          <w:tab w:val="clear" w:pos="708"/>
          <w:tab w:val="left" w:pos="5880" w:leader="none"/>
        </w:tabs>
        <w:spacing w:before="0" w:after="200"/>
        <w:rPr>
          <w:lang w:eastAsia="ru-RU"/>
        </w:rPr>
      </w:pPr>
      <w:r>
        <w:rPr/>
      </w:r>
      <w:bookmarkStart w:id="0" w:name="_GoBack"/>
      <w:bookmarkStart w:id="1" w:name="_GoBack"/>
      <w:bookmarkEnd w:id="1"/>
    </w:p>
    <w:sectPr>
      <w:footerReference w:type="default" r:id="rId3"/>
      <w:type w:val="nextPage"/>
      <w:pgSz w:w="11906" w:h="16838"/>
      <w:pgMar w:left="1134" w:right="851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ind w:right="-285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2"/>
      <w:numFmt w:val="decimal"/>
      <w:lvlText w:val="%1."/>
      <w:lvlJc w:val="left"/>
      <w:pPr>
        <w:tabs>
          <w:tab w:val="num" w:pos="0"/>
        </w:tabs>
        <w:ind w:left="480" w:hanging="360"/>
      </w:pPr>
      <w:rPr>
        <w:u w:val="non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6c83"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f56c83"/>
    <w:rPr>
      <w:rFonts w:cs="Times New Roman"/>
      <w:b/>
      <w:bCs/>
    </w:rPr>
  </w:style>
  <w:style w:type="character" w:styleId="Style14" w:customStyle="1">
    <w:name w:val="Абзац списка Знак"/>
    <w:link w:val="ListParagraph"/>
    <w:uiPriority w:val="34"/>
    <w:qFormat/>
    <w:locked/>
    <w:rsid w:val="00aa572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semiHidden/>
    <w:qFormat/>
    <w:rsid w:val="00fb0441"/>
    <w:rPr>
      <w:rFonts w:ascii="Times New Roman" w:hAnsi="Times New Roman" w:cs="Times New Roman"/>
      <w:sz w:val="24"/>
      <w:szCs w:val="24"/>
    </w:rPr>
  </w:style>
  <w:style w:type="character" w:styleId="Style16" w:customStyle="1">
    <w:name w:val="Нижний колонтитул Знак"/>
    <w:basedOn w:val="DefaultParagraphFont"/>
    <w:uiPriority w:val="99"/>
    <w:semiHidden/>
    <w:qFormat/>
    <w:rsid w:val="00fb0441"/>
    <w:rPr>
      <w:rFonts w:ascii="Times New Roman" w:hAnsi="Times New Roman" w:cs="Times New Roman"/>
      <w:sz w:val="24"/>
      <w:szCs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link w:val="Style14"/>
    <w:uiPriority w:val="34"/>
    <w:qFormat/>
    <w:rsid w:val="00f56c83"/>
    <w:pPr>
      <w:spacing w:lineRule="auto" w:line="240" w:before="0" w:after="0"/>
      <w:ind w:left="720" w:hanging="0"/>
      <w:contextualSpacing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unhideWhenUsed/>
    <w:qFormat/>
    <w:rsid w:val="00d9107d"/>
    <w:pPr>
      <w:spacing w:lineRule="auto" w:line="240" w:beforeAutospacing="1" w:afterAutospacing="1"/>
    </w:pPr>
    <w:rPr>
      <w:rFonts w:eastAsia="Times New Roman"/>
      <w:lang w:eastAsia="ru-RU"/>
    </w:rPr>
  </w:style>
  <w:style w:type="paragraph" w:styleId="Default" w:customStyle="1">
    <w:name w:val="Default"/>
    <w:qFormat/>
    <w:rsid w:val="0095397a"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semiHidden/>
    <w:unhideWhenUsed/>
    <w:rsid w:val="00fb04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semiHidden/>
    <w:unhideWhenUsed/>
    <w:rsid w:val="00fb04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fd4902"/>
    <w:pPr>
      <w:spacing w:before="0"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Application>LibreOffice/7.5.2.1$Linux_X86_64 LibreOffice_project/50$Build-1</Application>
  <AppVersion>15.0000</AppVersion>
  <Pages>6</Pages>
  <Words>1410</Words>
  <Characters>10086</Characters>
  <CharactersWithSpaces>11578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2022-06-10T06:19:00Z</dcterms:created>
  <dc:creator>Кирилл</dc:creator>
  <dc:description/>
  <dc:language>ru-RU</dc:language>
  <cp:lastModifiedBy/>
  <cp:lastPrinted>2025-09-18T09:49:26Z</cp:lastPrinted>
  <dcterms:modified xsi:type="dcterms:W3CDTF">2025-09-19T10:16:59Z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